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09D88" w14:textId="77777777" w:rsidR="000768F6" w:rsidRDefault="003B6ECD" w:rsidP="003951D6">
      <w:pPr>
        <w:jc w:val="left"/>
        <w:rPr>
          <w:rFonts w:cs="Times New Roman"/>
          <w:color w:val="000000"/>
          <w:szCs w:val="24"/>
          <w:shd w:val="clear" w:color="auto" w:fill="FFFFFF"/>
        </w:rPr>
      </w:pPr>
      <w:r w:rsidRPr="003B6ECD">
        <w:rPr>
          <w:rFonts w:cs="Times New Roman"/>
          <w:color w:val="000000"/>
          <w:szCs w:val="24"/>
          <w:shd w:val="clear" w:color="auto" w:fill="FFFFFF"/>
        </w:rPr>
        <w:t>Daniel Añua-Tejedor es licenciado en filología inglesa y filología hispánica por la Universidad del País Vasco/EHU, así como máster y doctor en Literatura Comparada y Estudios Literarios por dicha universidad con la tesis titulada: El proceso de deshumanización del morir en la literatura hispánica medieval.</w:t>
      </w:r>
    </w:p>
    <w:p w14:paraId="6BB00385" w14:textId="77777777" w:rsidR="000768F6" w:rsidRDefault="000768F6" w:rsidP="003951D6">
      <w:pPr>
        <w:jc w:val="left"/>
        <w:rPr>
          <w:rFonts w:cs="Times New Roman"/>
          <w:color w:val="000000"/>
          <w:szCs w:val="24"/>
          <w:shd w:val="clear" w:color="auto" w:fill="FFFFFF"/>
        </w:rPr>
      </w:pPr>
    </w:p>
    <w:p w14:paraId="050D2B35" w14:textId="752370EC" w:rsidR="000768F6" w:rsidRDefault="003B6ECD" w:rsidP="003951D6">
      <w:pPr>
        <w:jc w:val="left"/>
        <w:rPr>
          <w:rFonts w:cs="Times New Roman"/>
          <w:color w:val="000000"/>
          <w:szCs w:val="24"/>
          <w:shd w:val="clear" w:color="auto" w:fill="FFFFFF"/>
        </w:rPr>
      </w:pPr>
      <w:r w:rsidRPr="003B6ECD">
        <w:rPr>
          <w:rFonts w:cs="Times New Roman"/>
          <w:color w:val="000000"/>
          <w:szCs w:val="24"/>
          <w:shd w:val="clear" w:color="auto" w:fill="FFFFFF"/>
        </w:rPr>
        <w:t>Es autor de varios artículos en revistas académicas, entre los que se pueden destacar los siguientes:</w:t>
      </w:r>
    </w:p>
    <w:p w14:paraId="79DD5649" w14:textId="2F8F0227" w:rsidR="00A96C42" w:rsidRPr="008A31AA" w:rsidRDefault="00AD4090" w:rsidP="00867DC4">
      <w:pPr>
        <w:pStyle w:val="NormalWeb"/>
        <w:numPr>
          <w:ilvl w:val="0"/>
          <w:numId w:val="1"/>
        </w:numPr>
        <w:spacing w:before="0" w:beforeAutospacing="0" w:after="120" w:afterAutospacing="0"/>
        <w:ind w:left="714" w:hanging="357"/>
        <w:jc w:val="both"/>
        <w:rPr>
          <w:lang w:val="en-US"/>
        </w:rPr>
      </w:pPr>
      <w:r w:rsidRPr="00FB4532">
        <w:rPr>
          <w:lang w:val="en-US"/>
        </w:rPr>
        <w:t xml:space="preserve">2020. </w:t>
      </w:r>
      <w:r w:rsidR="008A31AA">
        <w:rPr>
          <w:lang w:val="en-US"/>
        </w:rPr>
        <w:t>“</w:t>
      </w:r>
      <w:r w:rsidRPr="00FB4532">
        <w:rPr>
          <w:lang w:val="en-US"/>
        </w:rPr>
        <w:t>Interference and Persistence: Dying in Medieval Spanish Literature</w:t>
      </w:r>
      <w:r w:rsidR="008A31AA">
        <w:rPr>
          <w:lang w:val="en-US"/>
        </w:rPr>
        <w:t>”</w:t>
      </w:r>
      <w:r w:rsidRPr="00FB4532">
        <w:rPr>
          <w:lang w:val="en-US"/>
        </w:rPr>
        <w:t xml:space="preserve">, </w:t>
      </w:r>
      <w:r w:rsidRPr="00FB4532">
        <w:rPr>
          <w:i/>
          <w:iCs/>
          <w:lang w:val="en-US"/>
        </w:rPr>
        <w:t>Studium: Revista de humanidades</w:t>
      </w:r>
      <w:r w:rsidRPr="00FB4532">
        <w:rPr>
          <w:lang w:val="en-US"/>
        </w:rPr>
        <w:t xml:space="preserve"> 26: 39-65. </w:t>
      </w:r>
    </w:p>
    <w:p w14:paraId="26CCFAFC" w14:textId="5BCD9BC2" w:rsidR="00AD4090" w:rsidRDefault="00AD4090" w:rsidP="00A96C42">
      <w:pPr>
        <w:pStyle w:val="NormalWeb"/>
        <w:spacing w:before="0" w:beforeAutospacing="0" w:after="120" w:afterAutospacing="0"/>
        <w:ind w:left="714"/>
        <w:jc w:val="both"/>
        <w:rPr>
          <w:rStyle w:val="Hipervnculo"/>
          <w:shd w:val="clear" w:color="auto" w:fill="FFFFFF"/>
        </w:rPr>
      </w:pPr>
      <w:r w:rsidRPr="00AD4090">
        <w:rPr>
          <w:lang w:val="fr-FR"/>
        </w:rPr>
        <w:t xml:space="preserve">DOI: </w:t>
      </w:r>
      <w:hyperlink r:id="rId5" w:history="1">
        <w:r w:rsidRPr="00AD4090">
          <w:rPr>
            <w:rStyle w:val="Hipervnculo"/>
            <w:shd w:val="clear" w:color="auto" w:fill="FFFFFF"/>
            <w:lang w:val="fr-FR"/>
          </w:rPr>
          <w:t>https://doi.org/10.26754/ojs_studium/stud.2020264509</w:t>
        </w:r>
      </w:hyperlink>
    </w:p>
    <w:p w14:paraId="47B577DE" w14:textId="77777777" w:rsidR="00A96C42" w:rsidRPr="00FB4532" w:rsidRDefault="00A96C42" w:rsidP="00A96C42">
      <w:pPr>
        <w:pStyle w:val="NormalWeb"/>
        <w:spacing w:before="0" w:beforeAutospacing="0" w:after="120" w:afterAutospacing="0"/>
        <w:ind w:left="714"/>
        <w:jc w:val="both"/>
        <w:rPr>
          <w:lang w:val="fr-FR"/>
        </w:rPr>
      </w:pPr>
    </w:p>
    <w:p w14:paraId="42C6D543" w14:textId="004F193F" w:rsidR="00A96C42" w:rsidRDefault="00AD4090" w:rsidP="00867DC4">
      <w:pPr>
        <w:pStyle w:val="NormalWeb"/>
        <w:numPr>
          <w:ilvl w:val="0"/>
          <w:numId w:val="1"/>
        </w:numPr>
        <w:spacing w:before="0" w:beforeAutospacing="0" w:after="120" w:afterAutospacing="0"/>
        <w:ind w:left="714" w:hanging="357"/>
        <w:jc w:val="both"/>
      </w:pPr>
      <w:r w:rsidRPr="00863061">
        <w:t xml:space="preserve">2020. </w:t>
      </w:r>
      <w:r w:rsidR="008A31AA">
        <w:t>“</w:t>
      </w:r>
      <w:r w:rsidRPr="00863061">
        <w:t xml:space="preserve">El personaje de Muerte en la </w:t>
      </w:r>
      <w:r w:rsidRPr="00863061">
        <w:rPr>
          <w:i/>
          <w:iCs/>
        </w:rPr>
        <w:t>Dança General</w:t>
      </w:r>
      <w:r w:rsidRPr="00863061">
        <w:t>: ¿doble por fisión o doble por fusión?</w:t>
      </w:r>
      <w:r w:rsidR="008A31AA">
        <w:t>”</w:t>
      </w:r>
      <w:r w:rsidRPr="00863061">
        <w:t xml:space="preserve">, </w:t>
      </w:r>
      <w:r w:rsidRPr="00863061">
        <w:rPr>
          <w:i/>
          <w:iCs/>
        </w:rPr>
        <w:t>ACTIO NOVA: Revista de Teoría de la Literatura y Literatura Comparada</w:t>
      </w:r>
      <w:r w:rsidRPr="00863061">
        <w:t xml:space="preserve"> 4: 217-236. </w:t>
      </w:r>
    </w:p>
    <w:p w14:paraId="20C54D85" w14:textId="3B44358A" w:rsidR="00AD4090" w:rsidRDefault="00AD4090" w:rsidP="00A96C42">
      <w:pPr>
        <w:pStyle w:val="NormalWeb"/>
        <w:spacing w:before="0" w:beforeAutospacing="0" w:after="120" w:afterAutospacing="0"/>
        <w:ind w:left="714"/>
        <w:jc w:val="both"/>
        <w:rPr>
          <w:rStyle w:val="Hipervnculo"/>
        </w:rPr>
      </w:pPr>
      <w:r w:rsidRPr="00A96C42">
        <w:rPr>
          <w:color w:val="000000"/>
          <w:lang w:val="fr-FR"/>
        </w:rPr>
        <w:t xml:space="preserve">DOI: </w:t>
      </w:r>
      <w:hyperlink r:id="rId6" w:history="1">
        <w:r w:rsidRPr="00A96C42">
          <w:rPr>
            <w:rStyle w:val="Hipervnculo"/>
            <w:lang w:val="fr-FR"/>
          </w:rPr>
          <w:t>https://doi.org/10.15366/actionova2020.4.010</w:t>
        </w:r>
      </w:hyperlink>
    </w:p>
    <w:p w14:paraId="60AD18F9" w14:textId="77777777" w:rsidR="00A96C42" w:rsidRPr="00A96C42" w:rsidRDefault="00A96C42" w:rsidP="00A96C42">
      <w:pPr>
        <w:pStyle w:val="NormalWeb"/>
        <w:spacing w:before="0" w:beforeAutospacing="0" w:after="120" w:afterAutospacing="0"/>
        <w:ind w:left="714"/>
        <w:jc w:val="both"/>
        <w:rPr>
          <w:lang w:val="fr-FR"/>
        </w:rPr>
      </w:pPr>
    </w:p>
    <w:p w14:paraId="7A2B0371" w14:textId="3DFCB2C6" w:rsidR="00A96C42" w:rsidRPr="00361964" w:rsidRDefault="00AD4090" w:rsidP="00867DC4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rPr>
          <w:rFonts w:cs="Times New Roman"/>
          <w:szCs w:val="24"/>
        </w:rPr>
      </w:pPr>
      <w:r w:rsidRPr="00AD4090">
        <w:rPr>
          <w:rFonts w:cs="Times New Roman"/>
          <w:szCs w:val="24"/>
        </w:rPr>
        <w:t xml:space="preserve">2017. </w:t>
      </w:r>
      <w:r w:rsidR="00361964">
        <w:rPr>
          <w:rFonts w:cs="Times New Roman"/>
          <w:szCs w:val="24"/>
        </w:rPr>
        <w:t>“</w:t>
      </w:r>
      <w:r w:rsidRPr="00AD4090">
        <w:rPr>
          <w:rFonts w:cs="Times New Roman"/>
          <w:szCs w:val="24"/>
        </w:rPr>
        <w:t xml:space="preserve">El </w:t>
      </w:r>
      <w:r w:rsidRPr="008A31AA">
        <w:rPr>
          <w:rFonts w:cs="Times New Roman"/>
          <w:i/>
          <w:iCs/>
          <w:szCs w:val="24"/>
        </w:rPr>
        <w:t>Ars moriendi</w:t>
      </w:r>
      <w:r w:rsidRPr="00AD4090">
        <w:rPr>
          <w:rFonts w:cs="Times New Roman"/>
          <w:szCs w:val="24"/>
        </w:rPr>
        <w:t>: ¿un manual del buen morir?</w:t>
      </w:r>
      <w:r w:rsidR="00361964">
        <w:rPr>
          <w:rFonts w:cs="Times New Roman"/>
          <w:szCs w:val="24"/>
        </w:rPr>
        <w:t>”</w:t>
      </w:r>
      <w:r w:rsidRPr="00AD4090">
        <w:rPr>
          <w:rFonts w:cs="Times New Roman"/>
          <w:szCs w:val="24"/>
        </w:rPr>
        <w:t xml:space="preserve">, </w:t>
      </w:r>
      <w:r w:rsidRPr="00AD4090">
        <w:rPr>
          <w:rFonts w:cs="Times New Roman"/>
          <w:i/>
          <w:iCs/>
          <w:szCs w:val="24"/>
        </w:rPr>
        <w:t>Erebea: Revista de Humanidades y Ciencias Sociales</w:t>
      </w:r>
      <w:r w:rsidRPr="00AD4090">
        <w:rPr>
          <w:rFonts w:cs="Times New Roman"/>
          <w:szCs w:val="24"/>
        </w:rPr>
        <w:t xml:space="preserve"> 7: 225-252. </w:t>
      </w:r>
    </w:p>
    <w:p w14:paraId="4C3BB517" w14:textId="60F034EB" w:rsidR="00AD4090" w:rsidRDefault="00AD4090" w:rsidP="00A96C42">
      <w:pPr>
        <w:pStyle w:val="Prrafodelista"/>
        <w:spacing w:after="120" w:line="240" w:lineRule="auto"/>
        <w:ind w:left="714" w:firstLine="0"/>
        <w:rPr>
          <w:rStyle w:val="Hipervnculo"/>
          <w:rFonts w:cs="Times New Roman"/>
          <w:szCs w:val="24"/>
          <w:lang w:val="fr-FR"/>
        </w:rPr>
      </w:pPr>
      <w:r w:rsidRPr="00AD4090">
        <w:rPr>
          <w:rFonts w:cs="Times New Roman"/>
          <w:szCs w:val="24"/>
          <w:lang w:val="fr-FR"/>
        </w:rPr>
        <w:t xml:space="preserve">DOI: </w:t>
      </w:r>
      <w:hyperlink r:id="rId7" w:history="1">
        <w:r w:rsidRPr="00AD4090">
          <w:rPr>
            <w:rStyle w:val="Hipervnculo"/>
            <w:rFonts w:cs="Times New Roman"/>
            <w:szCs w:val="24"/>
            <w:lang w:val="fr-FR"/>
          </w:rPr>
          <w:t>http://dx.doi.org/10.33776/erebea.v7i0</w:t>
        </w:r>
      </w:hyperlink>
    </w:p>
    <w:p w14:paraId="09302F28" w14:textId="77777777" w:rsidR="00A96C42" w:rsidRPr="00AD4090" w:rsidRDefault="00A96C42" w:rsidP="00A96C42">
      <w:pPr>
        <w:pStyle w:val="Prrafodelista"/>
        <w:spacing w:after="120" w:line="240" w:lineRule="auto"/>
        <w:ind w:left="714" w:firstLine="0"/>
        <w:rPr>
          <w:rFonts w:cs="Times New Roman"/>
          <w:szCs w:val="24"/>
          <w:lang w:val="fr-FR"/>
        </w:rPr>
      </w:pPr>
    </w:p>
    <w:p w14:paraId="5224897F" w14:textId="28EF43F3" w:rsidR="00A96C42" w:rsidRPr="00361964" w:rsidRDefault="00AD4090" w:rsidP="00867DC4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rPr>
          <w:rFonts w:cs="Times New Roman"/>
          <w:szCs w:val="24"/>
          <w:lang w:val="en-US"/>
        </w:rPr>
      </w:pPr>
      <w:r w:rsidRPr="00FB4532">
        <w:rPr>
          <w:rFonts w:cs="Times New Roman"/>
          <w:szCs w:val="24"/>
          <w:lang w:val="en-US"/>
        </w:rPr>
        <w:t xml:space="preserve">2017. </w:t>
      </w:r>
      <w:r w:rsidR="00361964">
        <w:rPr>
          <w:rFonts w:cs="Times New Roman"/>
          <w:szCs w:val="24"/>
          <w:lang w:val="en-US"/>
        </w:rPr>
        <w:t>“</w:t>
      </w:r>
      <w:r w:rsidRPr="00FB4532">
        <w:rPr>
          <w:rFonts w:cs="Times New Roman"/>
          <w:szCs w:val="24"/>
          <w:lang w:val="en-US"/>
        </w:rPr>
        <w:t>A matter of timing: The relevance of the lapse of time between death and the celebration of the final judgment in the Middle Ages</w:t>
      </w:r>
      <w:r w:rsidR="00361964">
        <w:rPr>
          <w:rFonts w:cs="Times New Roman"/>
          <w:szCs w:val="24"/>
          <w:lang w:val="en-US"/>
        </w:rPr>
        <w:t>”</w:t>
      </w:r>
      <w:r w:rsidRPr="00FB4532">
        <w:rPr>
          <w:rFonts w:cs="Times New Roman"/>
          <w:szCs w:val="24"/>
          <w:lang w:val="en-US"/>
        </w:rPr>
        <w:t xml:space="preserve">, </w:t>
      </w:r>
      <w:r w:rsidRPr="00FB4532">
        <w:rPr>
          <w:rFonts w:cs="Times New Roman"/>
          <w:i/>
          <w:iCs/>
          <w:szCs w:val="24"/>
          <w:lang w:val="en-US"/>
        </w:rPr>
        <w:t>Studium: Revista de humanidades</w:t>
      </w:r>
      <w:r w:rsidRPr="00FB4532">
        <w:rPr>
          <w:rFonts w:cs="Times New Roman"/>
          <w:szCs w:val="24"/>
          <w:lang w:val="en-US"/>
        </w:rPr>
        <w:t xml:space="preserve"> 23: 13-42. </w:t>
      </w:r>
    </w:p>
    <w:p w14:paraId="299F2207" w14:textId="5F3011B7" w:rsidR="00AD4090" w:rsidRDefault="00AD4090" w:rsidP="00A96C42">
      <w:pPr>
        <w:pStyle w:val="Prrafodelista"/>
        <w:spacing w:after="120" w:line="240" w:lineRule="auto"/>
        <w:ind w:left="714" w:firstLine="0"/>
        <w:rPr>
          <w:rStyle w:val="Hipervnculo"/>
          <w:rFonts w:cs="Times New Roman"/>
          <w:szCs w:val="24"/>
          <w:lang w:val="en-US"/>
        </w:rPr>
      </w:pPr>
      <w:r w:rsidRPr="00AD4090">
        <w:rPr>
          <w:rFonts w:cs="Times New Roman"/>
          <w:szCs w:val="24"/>
          <w:lang w:val="fr-FR"/>
        </w:rPr>
        <w:t xml:space="preserve">DOI: </w:t>
      </w:r>
      <w:hyperlink r:id="rId8" w:history="1">
        <w:r w:rsidRPr="00AD4090">
          <w:rPr>
            <w:rStyle w:val="Hipervnculo"/>
            <w:rFonts w:cs="Times New Roman"/>
            <w:szCs w:val="24"/>
            <w:lang w:val="fr-FR"/>
          </w:rPr>
          <w:t>https://doi.org/10.26754/ojs_studium/stud.2017232596</w:t>
        </w:r>
      </w:hyperlink>
    </w:p>
    <w:p w14:paraId="111F3729" w14:textId="77777777" w:rsidR="00A96C42" w:rsidRPr="00FB4532" w:rsidRDefault="00A96C42" w:rsidP="00A96C42">
      <w:pPr>
        <w:pStyle w:val="Prrafodelista"/>
        <w:spacing w:after="120" w:line="240" w:lineRule="auto"/>
        <w:ind w:left="714" w:firstLine="0"/>
        <w:rPr>
          <w:rFonts w:cs="Times New Roman"/>
          <w:szCs w:val="24"/>
          <w:lang w:val="fr-FR"/>
        </w:rPr>
      </w:pPr>
    </w:p>
    <w:p w14:paraId="58E924E2" w14:textId="34DAA991" w:rsidR="00AD4090" w:rsidRDefault="00AD4090" w:rsidP="00867DC4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rPr>
          <w:rFonts w:cs="Times New Roman"/>
          <w:szCs w:val="24"/>
        </w:rPr>
      </w:pPr>
      <w:r w:rsidRPr="00AD4090">
        <w:rPr>
          <w:rFonts w:cs="Times New Roman"/>
          <w:szCs w:val="24"/>
        </w:rPr>
        <w:t xml:space="preserve">2017. </w:t>
      </w:r>
      <w:r w:rsidR="00361964">
        <w:rPr>
          <w:rFonts w:cs="Times New Roman"/>
          <w:szCs w:val="24"/>
        </w:rPr>
        <w:t>“</w:t>
      </w:r>
      <w:r w:rsidRPr="00AD4090">
        <w:rPr>
          <w:rFonts w:cs="Times New Roman"/>
          <w:szCs w:val="24"/>
        </w:rPr>
        <w:t>El reflejo del control de las conductas en la épica hispánica medieval</w:t>
      </w:r>
      <w:r w:rsidR="00361964">
        <w:rPr>
          <w:rFonts w:cs="Times New Roman"/>
          <w:szCs w:val="24"/>
        </w:rPr>
        <w:t>”</w:t>
      </w:r>
      <w:r w:rsidRPr="00AD4090">
        <w:rPr>
          <w:rFonts w:cs="Times New Roman"/>
          <w:szCs w:val="24"/>
        </w:rPr>
        <w:t xml:space="preserve">, </w:t>
      </w:r>
      <w:r w:rsidRPr="00AD4090">
        <w:rPr>
          <w:rFonts w:cs="Times New Roman"/>
          <w:i/>
          <w:iCs/>
          <w:szCs w:val="24"/>
        </w:rPr>
        <w:t>Hesperia: Anuario de filología hispánica</w:t>
      </w:r>
      <w:r w:rsidRPr="00AD4090">
        <w:rPr>
          <w:rFonts w:cs="Times New Roman"/>
          <w:szCs w:val="24"/>
        </w:rPr>
        <w:t xml:space="preserve"> 20 (1): 21-41.</w:t>
      </w:r>
    </w:p>
    <w:p w14:paraId="459ED879" w14:textId="77777777" w:rsidR="00A96C42" w:rsidRPr="00AD4090" w:rsidRDefault="00A96C42" w:rsidP="00A96C42">
      <w:pPr>
        <w:pStyle w:val="Prrafodelista"/>
        <w:spacing w:after="120" w:line="240" w:lineRule="auto"/>
        <w:ind w:left="714" w:firstLine="0"/>
        <w:rPr>
          <w:rFonts w:cs="Times New Roman"/>
          <w:szCs w:val="24"/>
        </w:rPr>
      </w:pPr>
    </w:p>
    <w:p w14:paraId="632F11E4" w14:textId="77777777" w:rsidR="00A96C42" w:rsidRDefault="00AD4090" w:rsidP="00867DC4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rPr>
          <w:rFonts w:cs="Times New Roman"/>
          <w:szCs w:val="24"/>
        </w:rPr>
      </w:pPr>
      <w:r w:rsidRPr="00AD4090">
        <w:rPr>
          <w:rFonts w:cs="Times New Roman"/>
          <w:szCs w:val="24"/>
        </w:rPr>
        <w:t xml:space="preserve">2016. “La </w:t>
      </w:r>
      <w:r w:rsidRPr="00AD4090">
        <w:rPr>
          <w:rFonts w:cs="Times New Roman"/>
          <w:i/>
          <w:iCs/>
          <w:szCs w:val="24"/>
        </w:rPr>
        <w:t>Confesión rimada</w:t>
      </w:r>
      <w:r w:rsidRPr="00AD4090">
        <w:rPr>
          <w:rFonts w:cs="Times New Roman"/>
          <w:szCs w:val="24"/>
        </w:rPr>
        <w:t xml:space="preserve"> de Pero López de Ayala”, </w:t>
      </w:r>
      <w:r w:rsidRPr="00AD4090">
        <w:rPr>
          <w:rFonts w:cs="Times New Roman"/>
          <w:i/>
          <w:iCs/>
          <w:szCs w:val="24"/>
        </w:rPr>
        <w:t>Revista de Cancioneros impresos y manuscritos</w:t>
      </w:r>
      <w:r w:rsidRPr="00AD4090">
        <w:rPr>
          <w:rFonts w:cs="Times New Roman"/>
          <w:szCs w:val="24"/>
        </w:rPr>
        <w:t xml:space="preserve"> 5: 30-63. </w:t>
      </w:r>
    </w:p>
    <w:p w14:paraId="0338D0BD" w14:textId="5EBBBC2E" w:rsidR="00AD4090" w:rsidRPr="00867DC4" w:rsidRDefault="00AD4090" w:rsidP="00A96C42">
      <w:pPr>
        <w:pStyle w:val="Prrafodelista"/>
        <w:spacing w:after="120" w:line="240" w:lineRule="auto"/>
        <w:ind w:left="714" w:firstLine="0"/>
        <w:rPr>
          <w:rStyle w:val="Hipervnculo"/>
          <w:rFonts w:cs="Times New Roman"/>
          <w:color w:val="auto"/>
          <w:szCs w:val="24"/>
          <w:u w:val="none"/>
        </w:rPr>
      </w:pPr>
      <w:r w:rsidRPr="00AD4090">
        <w:rPr>
          <w:rFonts w:cs="Times New Roman"/>
          <w:color w:val="111111"/>
          <w:szCs w:val="24"/>
          <w:shd w:val="clear" w:color="auto" w:fill="FFFFFF"/>
        </w:rPr>
        <w:t>DOI: </w:t>
      </w:r>
      <w:hyperlink r:id="rId9" w:history="1">
        <w:r w:rsidRPr="00AD4090">
          <w:rPr>
            <w:rStyle w:val="Hipervnculo"/>
            <w:rFonts w:cs="Times New Roman"/>
            <w:szCs w:val="24"/>
            <w:shd w:val="clear" w:color="auto" w:fill="FFFFFF"/>
          </w:rPr>
          <w:t>https://doi.org/10.14198/rcim.2016.5.02</w:t>
        </w:r>
      </w:hyperlink>
    </w:p>
    <w:p w14:paraId="2B898196" w14:textId="77777777" w:rsidR="00867DC4" w:rsidRPr="00AD4090" w:rsidRDefault="00867DC4" w:rsidP="00867DC4">
      <w:pPr>
        <w:pStyle w:val="Prrafodelista"/>
        <w:spacing w:after="120" w:line="240" w:lineRule="auto"/>
        <w:ind w:left="714" w:firstLine="0"/>
        <w:rPr>
          <w:rFonts w:cs="Times New Roman"/>
          <w:szCs w:val="24"/>
        </w:rPr>
      </w:pPr>
    </w:p>
    <w:p w14:paraId="57A3DBC8" w14:textId="0187B9AC" w:rsidR="0083624C" w:rsidRPr="003B6ECD" w:rsidRDefault="003B6ECD" w:rsidP="003951D6">
      <w:pPr>
        <w:jc w:val="left"/>
        <w:rPr>
          <w:rFonts w:cs="Times New Roman"/>
          <w:szCs w:val="24"/>
        </w:rPr>
      </w:pPr>
      <w:r w:rsidRPr="003B6ECD">
        <w:rPr>
          <w:rFonts w:cs="Times New Roman"/>
          <w:color w:val="000000"/>
          <w:szCs w:val="24"/>
          <w:shd w:val="clear" w:color="auto" w:fill="FFFFFF"/>
        </w:rPr>
        <w:t>También ha impartido la comunicación “La Dança de la Muerte: ¿doble por fisión o doble por fusión?” en el XVIII Congreso Internacional de la Asociación Hispánica de Literatura Medieval (AHLM) celebrado en Barcelona en 2019.</w:t>
      </w:r>
    </w:p>
    <w:sectPr w:rsidR="0083624C" w:rsidRPr="003B6E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E707E"/>
    <w:multiLevelType w:val="hybridMultilevel"/>
    <w:tmpl w:val="AC2A73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28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E5"/>
    <w:rsid w:val="000768F6"/>
    <w:rsid w:val="00185D3D"/>
    <w:rsid w:val="003202E5"/>
    <w:rsid w:val="00361964"/>
    <w:rsid w:val="003951D6"/>
    <w:rsid w:val="003B6ECD"/>
    <w:rsid w:val="003F1B05"/>
    <w:rsid w:val="0083624C"/>
    <w:rsid w:val="00867DC4"/>
    <w:rsid w:val="008A31AA"/>
    <w:rsid w:val="009E4819"/>
    <w:rsid w:val="00A575F2"/>
    <w:rsid w:val="00A96C42"/>
    <w:rsid w:val="00AD27D3"/>
    <w:rsid w:val="00AD4090"/>
    <w:rsid w:val="00F11F5E"/>
    <w:rsid w:val="00FB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617A1"/>
  <w15:chartTrackingRefBased/>
  <w15:docId w15:val="{C22F716D-1B6D-4680-8C59-19A009D8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s-ES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. NORMAL"/>
    <w:qFormat/>
    <w:rsid w:val="00F11F5E"/>
  </w:style>
  <w:style w:type="paragraph" w:styleId="Ttulo1">
    <w:name w:val="heading 1"/>
    <w:basedOn w:val="Normal"/>
    <w:next w:val="Normal"/>
    <w:link w:val="Ttulo1Car"/>
    <w:uiPriority w:val="9"/>
    <w:qFormat/>
    <w:rsid w:val="00320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0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02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02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02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02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02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02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02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NOTAALPIE">
    <w:name w:val="2. NOTA AL PIE"/>
    <w:basedOn w:val="Textonotapie"/>
    <w:link w:val="2NOTAALPIECar"/>
    <w:qFormat/>
    <w:rsid w:val="009E4819"/>
  </w:style>
  <w:style w:type="character" w:customStyle="1" w:styleId="2NOTAALPIECar">
    <w:name w:val="2. NOTA AL PIE Car"/>
    <w:basedOn w:val="TextonotapieCar"/>
    <w:link w:val="2NOTAALPIE"/>
    <w:rsid w:val="009E4819"/>
    <w:rPr>
      <w:rFonts w:eastAsiaTheme="minorEastAsia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E481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E4819"/>
    <w:rPr>
      <w:rFonts w:eastAsiaTheme="minorEastAsia"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202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02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02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02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02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02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02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02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02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0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0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02E5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02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02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02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02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02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0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02E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02E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D40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D409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kern w:val="0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6754/ojs_studium/stud.201723259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x.doi.org/10.33776/erebea.v7i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5366/actionova2020.4.01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26754/ojs_studium/stud.202026450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4198/rcim.2016.5.0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314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Añua-Tejedor</dc:creator>
  <cp:keywords/>
  <dc:description/>
  <cp:lastModifiedBy>Daniel Añua-Tejedor</cp:lastModifiedBy>
  <cp:revision>11</cp:revision>
  <dcterms:created xsi:type="dcterms:W3CDTF">2024-06-02T09:46:00Z</dcterms:created>
  <dcterms:modified xsi:type="dcterms:W3CDTF">2024-06-02T09:53:00Z</dcterms:modified>
</cp:coreProperties>
</file>